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V-2026-0077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ahmenvertrag Gehölzpflegemaßnahmen im FB II.2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